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F8A726" w14:textId="77777777" w:rsidR="00E722AA" w:rsidRDefault="00DD68D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CAPÍTULO I – DAS DISPOSIÇÕES GERAIS </w:t>
      </w:r>
    </w:p>
    <w:p w14:paraId="483154B1" w14:textId="77777777" w:rsidR="00E722AA" w:rsidRDefault="00DD68D6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1º </w:t>
      </w:r>
      <w:r>
        <w:rPr>
          <w:rFonts w:ascii="Arial" w:hAnsi="Arial" w:cs="Arial"/>
          <w:color w:val="000000"/>
          <w:sz w:val="20"/>
          <w:szCs w:val="20"/>
        </w:rPr>
        <w:t xml:space="preserve">- O presente regulamento tem por finalidade estabelecer normas e critérios para compras e contratação de serviços da Irmandade de Misericórdia de Atibaia, sem fins lucrativos, pessoa jurídica de direito </w:t>
      </w:r>
      <w:r>
        <w:rPr>
          <w:rFonts w:ascii="Arial" w:hAnsi="Arial" w:cs="Arial"/>
          <w:color w:val="000000"/>
          <w:sz w:val="20"/>
          <w:szCs w:val="20"/>
        </w:rPr>
        <w:t>privado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sob o CNPJ 44.510.485/0001-39</w:t>
      </w:r>
      <w:r>
        <w:rPr>
          <w:rFonts w:ascii="Arial" w:hAnsi="Arial" w:cs="Arial"/>
          <w:bCs/>
          <w:i/>
          <w:color w:val="000000"/>
          <w:sz w:val="20"/>
          <w:szCs w:val="20"/>
        </w:rPr>
        <w:t>.</w:t>
      </w:r>
    </w:p>
    <w:p w14:paraId="278AD5C1" w14:textId="77777777" w:rsidR="00E722AA" w:rsidRDefault="00DD68D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Parágrafo único.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Este Regulamento se aplica a todos os dispêndios financeiros da Irmandade de Misericórdia de Atibaia, inclusive os realizados por unidades descentralizadas.</w:t>
      </w:r>
    </w:p>
    <w:p w14:paraId="14372395" w14:textId="77777777" w:rsidR="00E722AA" w:rsidRDefault="00DD68D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Art.2º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- Todos os dispêndios feitos pela In</w:t>
      </w:r>
      <w:r>
        <w:rPr>
          <w:rFonts w:ascii="Arial" w:hAnsi="Arial" w:cs="Arial"/>
          <w:bCs/>
          <w:color w:val="000000"/>
          <w:sz w:val="20"/>
          <w:szCs w:val="20"/>
        </w:rPr>
        <w:t>stituição, reger-se-ão pelos princípios básicos da moralidade e boa-fé, probidade, impessoalidade, economicidade e eficiência, isonomia, publicidade, legalidade, razoabilidade e busca permanente de qualidade e durabilidade, bem como pela adequação aos obje</w:t>
      </w:r>
      <w:r>
        <w:rPr>
          <w:rFonts w:ascii="Arial" w:hAnsi="Arial" w:cs="Arial"/>
          <w:bCs/>
          <w:color w:val="000000"/>
          <w:sz w:val="20"/>
          <w:szCs w:val="20"/>
        </w:rPr>
        <w:t>tivos da entidade.</w:t>
      </w:r>
    </w:p>
    <w:p w14:paraId="225CD622" w14:textId="77777777" w:rsidR="00E722AA" w:rsidRDefault="00DD68D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Art. 3º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- O cumprimento das normas deste Regulamento destina-se a selecionar, dentre as propostas que atendem aos princípios do artigo anterior, a mais vantajosa para a entidade.</w:t>
      </w:r>
    </w:p>
    <w:p w14:paraId="5E8FA95F" w14:textId="77777777" w:rsidR="00E722AA" w:rsidRDefault="00DD68D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Art. 4º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- Todo o processo de compras, contratações e locaç</w:t>
      </w:r>
      <w:r>
        <w:rPr>
          <w:rFonts w:ascii="Arial" w:hAnsi="Arial" w:cs="Arial"/>
          <w:bCs/>
          <w:color w:val="000000"/>
          <w:sz w:val="20"/>
          <w:szCs w:val="20"/>
        </w:rPr>
        <w:t>ões de que trata este regulamento deve estar devidamente documentado, a fim de facilitar o acompanhamento, o controle e a fiscalização dos Contratos de Gerenciamento.</w:t>
      </w:r>
    </w:p>
    <w:p w14:paraId="4861853E" w14:textId="77777777" w:rsidR="00E722AA" w:rsidRDefault="00DD68D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CAPÍTULO II - DAS COMPRAS</w:t>
      </w:r>
    </w:p>
    <w:p w14:paraId="60416C4B" w14:textId="77777777" w:rsidR="00E722AA" w:rsidRDefault="00DD68D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Título I – Definição</w:t>
      </w:r>
    </w:p>
    <w:p w14:paraId="48E4721B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5º </w:t>
      </w:r>
      <w:r>
        <w:rPr>
          <w:rFonts w:ascii="Arial" w:hAnsi="Arial" w:cs="Arial"/>
          <w:color w:val="000000"/>
          <w:sz w:val="20"/>
          <w:szCs w:val="20"/>
        </w:rPr>
        <w:t>- Para fins do presente regulament</w:t>
      </w:r>
      <w:r>
        <w:rPr>
          <w:rFonts w:ascii="Arial" w:hAnsi="Arial" w:cs="Arial"/>
          <w:color w:val="000000"/>
          <w:sz w:val="20"/>
          <w:szCs w:val="20"/>
        </w:rPr>
        <w:t xml:space="preserve">o, considera-se compra toda aquisição remunerada de bens de consumo e materiais permanentes para fornecimento de uma só vez ou parceladamente, com a finalidade de suprir o hospital com os materiais necessários ao desenvolvimento de suas atividades. </w:t>
      </w:r>
    </w:p>
    <w:p w14:paraId="7EFA4F1F" w14:textId="77777777" w:rsidR="00E722AA" w:rsidRDefault="00DD68D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Título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II - Do procedimento de compras</w:t>
      </w:r>
    </w:p>
    <w:p w14:paraId="63BA45E1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6º </w:t>
      </w:r>
      <w:r>
        <w:rPr>
          <w:rFonts w:ascii="Arial" w:hAnsi="Arial" w:cs="Arial"/>
          <w:color w:val="000000"/>
          <w:sz w:val="20"/>
          <w:szCs w:val="20"/>
        </w:rPr>
        <w:t>- O procedimento de compras compreende o cumprimento das etapas a seguir especificadas:</w:t>
      </w:r>
    </w:p>
    <w:p w14:paraId="7C17BF0C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I – solicitação de compras;</w:t>
      </w:r>
    </w:p>
    <w:p w14:paraId="3609284B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II – qualificação de fornecedores; </w:t>
      </w:r>
    </w:p>
    <w:p w14:paraId="185BA5AE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III – coleta de preço; </w:t>
      </w:r>
    </w:p>
    <w:p w14:paraId="0EEFD549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– apuração da melhor oferta;</w:t>
      </w:r>
    </w:p>
    <w:p w14:paraId="21D61987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– e</w:t>
      </w:r>
      <w:r>
        <w:rPr>
          <w:rFonts w:ascii="Arial" w:hAnsi="Arial" w:cs="Arial"/>
          <w:color w:val="000000"/>
          <w:sz w:val="20"/>
          <w:szCs w:val="20"/>
        </w:rPr>
        <w:t xml:space="preserve">missão de ordem de compra. </w:t>
      </w:r>
    </w:p>
    <w:p w14:paraId="2D9E18E0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7º </w:t>
      </w:r>
      <w:r>
        <w:rPr>
          <w:rFonts w:ascii="Arial" w:hAnsi="Arial" w:cs="Arial"/>
          <w:color w:val="000000"/>
          <w:sz w:val="20"/>
          <w:szCs w:val="20"/>
        </w:rPr>
        <w:t>- A qualificação do fornecedor candidato é composta pela verificação dos documentos legais e dos diplomas técnicos abaixo relacionados que deverão ser encaminhados ao departamento de compras da Santa Casa de Atibaia, atu</w:t>
      </w:r>
      <w:r>
        <w:rPr>
          <w:rFonts w:ascii="Arial" w:hAnsi="Arial" w:cs="Arial"/>
          <w:color w:val="000000"/>
          <w:sz w:val="20"/>
          <w:szCs w:val="20"/>
        </w:rPr>
        <w:t xml:space="preserve">alizados e dentro do prazo de validade. </w:t>
      </w:r>
    </w:p>
    <w:p w14:paraId="252D1222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I. CNPJ; </w:t>
      </w:r>
    </w:p>
    <w:p w14:paraId="4D1D6423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II. Inscrição Estadual; </w:t>
      </w:r>
    </w:p>
    <w:p w14:paraId="7B977EFC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III. Contrato Social com as alterações ou Estatuto; </w:t>
      </w:r>
    </w:p>
    <w:p w14:paraId="7DEF7571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IV. CCM – Comprovante de Contribuintes Municipal;</w:t>
      </w:r>
    </w:p>
    <w:p w14:paraId="66795F78" w14:textId="77777777" w:rsidR="00E722AA" w:rsidRDefault="00DD68D6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V. Licença de Funcionamento emitida pela Vigilância Sanitária, </w:t>
      </w:r>
      <w:r>
        <w:rPr>
          <w:rFonts w:ascii="Arial" w:hAnsi="Arial" w:cs="Arial"/>
          <w:color w:val="FF0000"/>
          <w:sz w:val="20"/>
          <w:szCs w:val="20"/>
        </w:rPr>
        <w:t xml:space="preserve">quando aplicável; </w:t>
      </w:r>
    </w:p>
    <w:p w14:paraId="59505C54" w14:textId="77777777" w:rsidR="00E722AA" w:rsidRDefault="00DD68D6">
      <w:pPr>
        <w:suppressAutoHyphens w:val="0"/>
        <w:spacing w:after="0" w:line="360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VI. Licença de Funcionamento emitida pela Polícia Federal, </w:t>
      </w:r>
      <w:r>
        <w:rPr>
          <w:rFonts w:ascii="Tahoma" w:hAnsi="Tahoma" w:cs="Tahoma"/>
          <w:color w:val="FF0000"/>
          <w:sz w:val="20"/>
        </w:rPr>
        <w:t>quando aplicável;</w:t>
      </w:r>
    </w:p>
    <w:p w14:paraId="7AF2E545" w14:textId="77777777" w:rsidR="00E722AA" w:rsidRDefault="00E722A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3527157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Parágrafo único.</w:t>
      </w:r>
      <w:r>
        <w:rPr>
          <w:rFonts w:ascii="Arial" w:hAnsi="Arial" w:cs="Arial"/>
          <w:color w:val="000000"/>
          <w:sz w:val="20"/>
          <w:szCs w:val="20"/>
        </w:rPr>
        <w:t xml:space="preserve"> Para o fornecimento de medicamentos, insumos farmacêuticos e correlatos são nec</w:t>
      </w:r>
      <w:r>
        <w:rPr>
          <w:rFonts w:ascii="Arial" w:hAnsi="Arial" w:cs="Arial"/>
          <w:color w:val="000000"/>
          <w:sz w:val="20"/>
          <w:szCs w:val="20"/>
        </w:rPr>
        <w:t xml:space="preserve">essários também os documentos listados abaixo: </w:t>
      </w:r>
    </w:p>
    <w:p w14:paraId="1CD2F864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I. Certificado de Responsabilidade Técnica emitido pelo Conselho Regional de Classe, ou o protocolo de assunção desta responsabilidade técnica - obrigatório para fabricante e distribuidor; </w:t>
      </w:r>
    </w:p>
    <w:p w14:paraId="648FC960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II. Certificado de Boas Práticas de Fabricação e Controle de Produtos para Saúde, expedido pela ANVISA – obrigatório para fabricante; </w:t>
      </w:r>
    </w:p>
    <w:p w14:paraId="7B2D58CA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Cópia autenticada da autorização especial para medicamentos da Portaria 344/98 SVS-MS – obrigatório para fabricante</w:t>
      </w:r>
      <w:r>
        <w:rPr>
          <w:rFonts w:ascii="Arial" w:hAnsi="Arial" w:cs="Arial"/>
          <w:color w:val="000000"/>
          <w:sz w:val="20"/>
          <w:szCs w:val="20"/>
        </w:rPr>
        <w:t xml:space="preserve"> e distribuidor. </w:t>
      </w:r>
    </w:p>
    <w:p w14:paraId="15B43353" w14:textId="77777777" w:rsidR="00E722AA" w:rsidRDefault="00DD68D6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8º </w:t>
      </w:r>
      <w:r>
        <w:rPr>
          <w:rFonts w:ascii="Arial" w:hAnsi="Arial" w:cs="Arial"/>
          <w:color w:val="000000"/>
          <w:sz w:val="20"/>
          <w:szCs w:val="20"/>
        </w:rPr>
        <w:t>– Para a coleta de preço será utilizada a Plataforma Eletrônica de Compras, podendo também ser realizada por e-mail, sendo todos os meios com a participação de, no mínimo, 3 (três) fornecedores previamente qualificados pelo hospit</w:t>
      </w:r>
      <w:r>
        <w:rPr>
          <w:rFonts w:ascii="Arial" w:hAnsi="Arial" w:cs="Arial"/>
          <w:color w:val="000000"/>
          <w:sz w:val="20"/>
          <w:szCs w:val="20"/>
        </w:rPr>
        <w:t xml:space="preserve">al. </w:t>
      </w:r>
    </w:p>
    <w:p w14:paraId="3D21A708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Parágrafo Primeiro – </w:t>
      </w:r>
      <w:r>
        <w:rPr>
          <w:rFonts w:ascii="Arial" w:hAnsi="Arial" w:cs="Arial"/>
          <w:color w:val="000000"/>
          <w:sz w:val="20"/>
          <w:szCs w:val="20"/>
        </w:rPr>
        <w:t>O sistema de coleta de preço, que trata o caput deste artigo, e a qualificação de fornecedores, que trata o artigo 7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º, </w:t>
      </w:r>
      <w:r>
        <w:rPr>
          <w:rFonts w:ascii="Arial" w:hAnsi="Arial" w:cs="Arial"/>
          <w:color w:val="000000"/>
          <w:sz w:val="20"/>
          <w:szCs w:val="20"/>
        </w:rPr>
        <w:t>serão dispensadas nos casos em que haja carência de fornecedor, exclusividade ou singularidade do objeto, neces</w:t>
      </w:r>
      <w:r>
        <w:rPr>
          <w:rFonts w:ascii="Arial" w:hAnsi="Arial" w:cs="Arial"/>
          <w:color w:val="000000"/>
          <w:sz w:val="20"/>
          <w:szCs w:val="20"/>
        </w:rPr>
        <w:t xml:space="preserve">sidade emergencial de aquisição ou contratação de serviço. </w:t>
      </w:r>
    </w:p>
    <w:p w14:paraId="4F11BA5E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Parágrafo Segundo </w:t>
      </w:r>
      <w:r>
        <w:rPr>
          <w:rFonts w:ascii="Arial" w:hAnsi="Arial" w:cs="Arial"/>
          <w:color w:val="000000"/>
          <w:sz w:val="20"/>
          <w:szCs w:val="20"/>
        </w:rPr>
        <w:t xml:space="preserve">- Considera-se de urgência a aquisição de material inexistente no estoque, com imediata necessidade de utilização. </w:t>
      </w:r>
    </w:p>
    <w:p w14:paraId="76278787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9º </w:t>
      </w:r>
      <w:r>
        <w:rPr>
          <w:rFonts w:ascii="Arial" w:hAnsi="Arial" w:cs="Arial"/>
          <w:color w:val="000000"/>
          <w:sz w:val="20"/>
          <w:szCs w:val="20"/>
        </w:rPr>
        <w:t xml:space="preserve">- A melhor oferta será apurada considerando menor preço, custo de transporte e seguro até o local de entrega, condição de pagamento, prazo de entrega, custo para operação do produto e disponibilidade para eventual necessidade de treinamento de pessoal. </w:t>
      </w:r>
    </w:p>
    <w:p w14:paraId="65874F03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t. 10 </w:t>
      </w:r>
      <w:r>
        <w:rPr>
          <w:rFonts w:ascii="Arial" w:hAnsi="Arial" w:cs="Arial"/>
          <w:color w:val="000000"/>
          <w:sz w:val="20"/>
          <w:szCs w:val="20"/>
        </w:rPr>
        <w:t xml:space="preserve">- A ordem de compra ou contrato formal efetuado com o fornecedor encerra o procedimento de compras, devendo representar fielmente todas as condições realizadas na negociação. </w:t>
      </w:r>
    </w:p>
    <w:p w14:paraId="12EF016E" w14:textId="77777777" w:rsidR="00E722AA" w:rsidRDefault="00E722A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6169C8B" w14:textId="77777777" w:rsidR="00E722AA" w:rsidRDefault="00DD68D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CAPÍTULO III - DA CONTRATAÇÃO DE SERVIÇOS</w:t>
      </w:r>
    </w:p>
    <w:p w14:paraId="5C807A8E" w14:textId="77777777" w:rsidR="00E722AA" w:rsidRDefault="00E722A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EA6F61" w14:textId="77777777" w:rsidR="00E722AA" w:rsidRDefault="00DD68D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TÍTULO I - Definição</w:t>
      </w:r>
    </w:p>
    <w:p w14:paraId="07BFB542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11 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Para fins do presente Regulamento considera-se serviço toda atividade destinada a obter determinada utilidade de interesse da , realizada por terceiros: demolição, conserto, instalação, montagem, operação, conservação, reparação, adaptação, manutenção, tr</w:t>
      </w:r>
      <w:r>
        <w:rPr>
          <w:rFonts w:ascii="Arial" w:hAnsi="Arial" w:cs="Arial"/>
          <w:color w:val="000000"/>
          <w:sz w:val="20"/>
          <w:szCs w:val="20"/>
        </w:rPr>
        <w:t>ansporte, locação de bens, publicidade e seguro, consultoria, assessoria, hospedagem, alimentação, serviços técnicos profissionais especializados, produção artística, serviços gráficos, bem como obras civis, englobando construção, reforma, recuperação ou a</w:t>
      </w:r>
      <w:r>
        <w:rPr>
          <w:rFonts w:ascii="Arial" w:hAnsi="Arial" w:cs="Arial"/>
          <w:color w:val="000000"/>
          <w:sz w:val="20"/>
          <w:szCs w:val="20"/>
        </w:rPr>
        <w:t xml:space="preserve">mpliação. </w:t>
      </w:r>
    </w:p>
    <w:p w14:paraId="6099505C" w14:textId="77777777" w:rsidR="00E722AA" w:rsidRDefault="00E722A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ACB9C7" w14:textId="77777777" w:rsidR="00E722AA" w:rsidRDefault="00DD68D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TÍTULO II - Da contratação</w:t>
      </w:r>
    </w:p>
    <w:p w14:paraId="215FF7C3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12 </w:t>
      </w:r>
      <w:r>
        <w:rPr>
          <w:rFonts w:ascii="Arial" w:hAnsi="Arial" w:cs="Arial"/>
          <w:color w:val="000000"/>
          <w:sz w:val="20"/>
          <w:szCs w:val="20"/>
        </w:rPr>
        <w:t>- Aplicam-se à contratação de serviços, no que couberem, todas as regras estabelecidas nos artigos 6º a 10º do presente Regulamento, com exceção dos serviços técnicos profissionais especializados que ficam dis</w:t>
      </w:r>
      <w:r>
        <w:rPr>
          <w:rFonts w:ascii="Arial" w:hAnsi="Arial" w:cs="Arial"/>
          <w:color w:val="000000"/>
          <w:sz w:val="20"/>
          <w:szCs w:val="20"/>
        </w:rPr>
        <w:t xml:space="preserve">pensados das exigências estabelecidas nos artigos 7º e 8º do presente Regulamento. </w:t>
      </w:r>
    </w:p>
    <w:p w14:paraId="79B0C00A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13 - </w:t>
      </w:r>
      <w:r>
        <w:rPr>
          <w:rFonts w:ascii="Arial" w:hAnsi="Arial" w:cs="Arial"/>
          <w:color w:val="000000"/>
          <w:sz w:val="20"/>
          <w:szCs w:val="20"/>
        </w:rPr>
        <w:t>Os contratos deverão estabelecer com clareza e precisão as condições de execução, aplicando-lhes as normas de direito civil, os princípios da teoria geral de cont</w:t>
      </w:r>
      <w:r>
        <w:rPr>
          <w:rFonts w:ascii="Arial" w:hAnsi="Arial" w:cs="Arial"/>
          <w:color w:val="000000"/>
          <w:sz w:val="20"/>
          <w:szCs w:val="20"/>
        </w:rPr>
        <w:t xml:space="preserve">ratos e as disposições do direito privado. </w:t>
      </w:r>
    </w:p>
    <w:p w14:paraId="0CC4356C" w14:textId="77777777" w:rsidR="00E722AA" w:rsidRDefault="00DD68D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Parágrafo único.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Para todas as compras de bens e serviços deverão ser emitidas, pelo fornecedor, nota fiscal de venda ou fatura de prestação de serviços.</w:t>
      </w:r>
    </w:p>
    <w:p w14:paraId="5E423864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14 - </w:t>
      </w:r>
      <w:r>
        <w:rPr>
          <w:rFonts w:ascii="Arial" w:hAnsi="Arial" w:cs="Arial"/>
          <w:color w:val="000000"/>
          <w:sz w:val="20"/>
          <w:szCs w:val="20"/>
        </w:rPr>
        <w:t>A Entidade caberá fiscalizar a execução dos cont</w:t>
      </w:r>
      <w:r>
        <w:rPr>
          <w:rFonts w:ascii="Arial" w:hAnsi="Arial" w:cs="Arial"/>
          <w:color w:val="000000"/>
          <w:sz w:val="20"/>
          <w:szCs w:val="20"/>
        </w:rPr>
        <w:t>ratos, podendo aplicar as sanções previstas contratualmente, quando descumpridas as cláusulas pactuadas.</w:t>
      </w:r>
    </w:p>
    <w:p w14:paraId="2D7A2B19" w14:textId="77777777" w:rsidR="00E722AA" w:rsidRDefault="00DD68D6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Parágrafo único. </w:t>
      </w:r>
      <w:r>
        <w:rPr>
          <w:rFonts w:ascii="Arial" w:hAnsi="Arial" w:cs="Arial"/>
          <w:bCs/>
          <w:color w:val="000000"/>
          <w:sz w:val="20"/>
          <w:szCs w:val="20"/>
        </w:rPr>
        <w:t>A inexecução total ou parcial do contrato poderá acarretar a sua rescisão, respondendo a parte que a causou com as consequências contr</w:t>
      </w:r>
      <w:r>
        <w:rPr>
          <w:rFonts w:ascii="Arial" w:hAnsi="Arial" w:cs="Arial"/>
          <w:bCs/>
          <w:color w:val="000000"/>
          <w:sz w:val="20"/>
          <w:szCs w:val="20"/>
        </w:rPr>
        <w:t>atuais e as previstas em lei.</w:t>
      </w:r>
    </w:p>
    <w:p w14:paraId="42D41E98" w14:textId="77777777" w:rsidR="00E722AA" w:rsidRDefault="00DD68D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TÍTULO III - Dos Serviços Técnicos Profissionais Especializados</w:t>
      </w:r>
    </w:p>
    <w:p w14:paraId="5EA6961E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15 </w:t>
      </w:r>
      <w:r>
        <w:rPr>
          <w:rFonts w:ascii="Arial" w:hAnsi="Arial" w:cs="Arial"/>
          <w:color w:val="000000"/>
          <w:sz w:val="20"/>
          <w:szCs w:val="20"/>
        </w:rPr>
        <w:t>- Para fins do presente Regulamento, consideram-se serviços técnicos profissionais especializados os trabalhos relativos a:</w:t>
      </w:r>
    </w:p>
    <w:p w14:paraId="37D9E221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I - estudos técnicos, planeja</w:t>
      </w:r>
      <w:r>
        <w:rPr>
          <w:rFonts w:ascii="Arial" w:hAnsi="Arial" w:cs="Arial"/>
          <w:color w:val="000000"/>
          <w:sz w:val="20"/>
          <w:szCs w:val="20"/>
        </w:rPr>
        <w:t>mentos e projetos básicos ou executivos;</w:t>
      </w:r>
    </w:p>
    <w:p w14:paraId="3CC4CEAD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II - pareceres, perícias e avaliações em geral;</w:t>
      </w:r>
    </w:p>
    <w:p w14:paraId="65398FA6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III - assessorias ou consultorias técnicas, jurídicas e auditorias financeiras; </w:t>
      </w:r>
    </w:p>
    <w:p w14:paraId="6C48B41C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IV - fiscalização, supervisão ou gerenciamento de obras ou serviços; </w:t>
      </w:r>
    </w:p>
    <w:p w14:paraId="3C328A16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- patrocínio</w:t>
      </w:r>
      <w:r>
        <w:rPr>
          <w:rFonts w:ascii="Arial" w:hAnsi="Arial" w:cs="Arial"/>
          <w:color w:val="000000"/>
          <w:sz w:val="20"/>
          <w:szCs w:val="20"/>
        </w:rPr>
        <w:t xml:space="preserve"> ou defesa de causas judiciais ou administrativas; </w:t>
      </w:r>
    </w:p>
    <w:p w14:paraId="79E847D4" w14:textId="77777777" w:rsidR="00E722AA" w:rsidRDefault="00DD68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VI - treinamento e aperfeiçoamento de pessoal; </w:t>
      </w:r>
    </w:p>
    <w:p w14:paraId="5F18880D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VII - prestação de serviços de assistência à saúde em áreas específicas; </w:t>
      </w:r>
    </w:p>
    <w:p w14:paraId="4B283443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VIII - informática, inclusive quando envolver aquisição de programas. </w:t>
      </w:r>
    </w:p>
    <w:p w14:paraId="6069CA80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16 </w:t>
      </w:r>
      <w:r>
        <w:rPr>
          <w:rFonts w:ascii="Arial" w:hAnsi="Arial" w:cs="Arial"/>
          <w:color w:val="000000"/>
          <w:sz w:val="20"/>
          <w:szCs w:val="20"/>
        </w:rPr>
        <w:t>- A Diretoria deverá selecionar criteriosamente o prestador de serviços técnicos profissionais especializados, que poderá ser pessoa jurídica ou física, considerando a idoneidad</w:t>
      </w:r>
      <w:r>
        <w:rPr>
          <w:rFonts w:ascii="Arial" w:hAnsi="Arial" w:cs="Arial"/>
          <w:color w:val="000000"/>
          <w:sz w:val="20"/>
          <w:szCs w:val="20"/>
        </w:rPr>
        <w:t xml:space="preserve">e, a experiência e a especialização do contratado, dentro da respectiva área. </w:t>
      </w:r>
    </w:p>
    <w:p w14:paraId="558A7A5F" w14:textId="77777777" w:rsidR="00E722AA" w:rsidRDefault="00DD68D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CAPÍTULO IV - DAS DISPOSIÇÕES FINAIS</w:t>
      </w:r>
    </w:p>
    <w:p w14:paraId="3C85819A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19 </w:t>
      </w:r>
      <w:r>
        <w:rPr>
          <w:rFonts w:ascii="Arial" w:hAnsi="Arial" w:cs="Arial"/>
          <w:color w:val="000000"/>
          <w:sz w:val="20"/>
          <w:szCs w:val="20"/>
        </w:rPr>
        <w:t xml:space="preserve">- Para fins do presente Regulamento consideram Diretoria o profissional indicado como Interventor Municipal contratado para administrar a Irmandade de Misericórdia de Atibaia. </w:t>
      </w:r>
    </w:p>
    <w:p w14:paraId="68C9CAC8" w14:textId="77777777" w:rsidR="00E722AA" w:rsidRDefault="00DD68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20 </w:t>
      </w:r>
      <w:r>
        <w:rPr>
          <w:rFonts w:ascii="Arial" w:hAnsi="Arial" w:cs="Arial"/>
          <w:color w:val="000000"/>
          <w:sz w:val="20"/>
          <w:szCs w:val="20"/>
        </w:rPr>
        <w:t>- Os casos omissos ou duvidosos na interpretação do presente Regulament</w:t>
      </w:r>
      <w:r>
        <w:rPr>
          <w:rFonts w:ascii="Arial" w:hAnsi="Arial" w:cs="Arial"/>
          <w:color w:val="000000"/>
          <w:sz w:val="20"/>
          <w:szCs w:val="20"/>
        </w:rPr>
        <w:t xml:space="preserve">o serão resolvidos pela Administração, com base nos princípios gerais de direito. </w:t>
      </w:r>
    </w:p>
    <w:p w14:paraId="207552B2" w14:textId="77777777" w:rsidR="00E722AA" w:rsidRDefault="00E722A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FF229B1" w14:textId="77777777" w:rsidR="00E722AA" w:rsidRDefault="00DD68D6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Atibaia, 02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 janeiro de 2018.</w:t>
      </w:r>
    </w:p>
    <w:p w14:paraId="18363987" w14:textId="77777777" w:rsidR="00E722AA" w:rsidRDefault="00E722AA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349BBCB" w14:textId="77777777" w:rsidR="00E722AA" w:rsidRDefault="00DD68D6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</w:t>
      </w:r>
    </w:p>
    <w:p w14:paraId="6EB64D16" w14:textId="77777777" w:rsidR="00E722AA" w:rsidRDefault="00DD68D6">
      <w:pPr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Lauro Takao Watanabe </w:t>
      </w:r>
    </w:p>
    <w:p w14:paraId="62B82606" w14:textId="77777777" w:rsidR="00E722AA" w:rsidRDefault="00DD68D6">
      <w:pPr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Interventor Municipal </w:t>
      </w:r>
    </w:p>
    <w:p w14:paraId="4D9796B6" w14:textId="77777777" w:rsidR="00E722AA" w:rsidRDefault="00E722AA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B7D987C" w14:textId="77777777" w:rsidR="00E722AA" w:rsidRDefault="00E722AA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C4FBB1E" w14:textId="77777777" w:rsidR="00E722AA" w:rsidRDefault="00E722A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9CA4139" w14:textId="77777777" w:rsidR="00E722AA" w:rsidRDefault="00E722A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34DA96" w14:textId="77777777" w:rsidR="00E722AA" w:rsidRDefault="00E722AA">
      <w:pPr>
        <w:spacing w:after="0" w:line="360" w:lineRule="auto"/>
        <w:jc w:val="both"/>
      </w:pPr>
    </w:p>
    <w:sectPr w:rsidR="00E722AA">
      <w:headerReference w:type="default" r:id="rId6"/>
      <w:pgSz w:w="11906" w:h="16838"/>
      <w:pgMar w:top="2755" w:right="851" w:bottom="709" w:left="851" w:header="851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B3971" w14:textId="77777777" w:rsidR="00DD68D6" w:rsidRDefault="00DD68D6">
      <w:pPr>
        <w:spacing w:after="0" w:line="240" w:lineRule="auto"/>
      </w:pPr>
      <w:r>
        <w:separator/>
      </w:r>
    </w:p>
  </w:endnote>
  <w:endnote w:type="continuationSeparator" w:id="0">
    <w:p w14:paraId="35D87708" w14:textId="77777777" w:rsidR="00DD68D6" w:rsidRDefault="00DD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EC3F8" w14:textId="77777777" w:rsidR="00DD68D6" w:rsidRDefault="00DD68D6">
      <w:pPr>
        <w:spacing w:after="0" w:line="240" w:lineRule="auto"/>
      </w:pPr>
      <w:r>
        <w:separator/>
      </w:r>
    </w:p>
  </w:footnote>
  <w:footnote w:type="continuationSeparator" w:id="0">
    <w:p w14:paraId="0B8D3F3C" w14:textId="77777777" w:rsidR="00DD68D6" w:rsidRDefault="00DD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37" w:type="dxa"/>
      <w:tblInd w:w="14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137"/>
    </w:tblGrid>
    <w:tr w:rsidR="00E722AA" w14:paraId="68AC0610" w14:textId="77777777" w:rsidTr="00DD68D6">
      <w:trPr>
        <w:trHeight w:val="139"/>
      </w:trPr>
      <w:tc>
        <w:tcPr>
          <w:tcW w:w="9137" w:type="dxa"/>
          <w:shd w:val="clear" w:color="auto" w:fill="auto"/>
          <w:tcMar>
            <w:left w:w="108" w:type="dxa"/>
          </w:tcMar>
        </w:tcPr>
        <w:p w14:paraId="4377DED2" w14:textId="77777777" w:rsidR="00E722AA" w:rsidRPr="00DD68D6" w:rsidRDefault="00DD68D6" w:rsidP="00DD68D6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DD68D6">
            <w:rPr>
              <w:rFonts w:ascii="Arial" w:hAnsi="Arial" w:cs="Arial"/>
              <w:b/>
              <w:sz w:val="28"/>
              <w:szCs w:val="28"/>
            </w:rPr>
            <w:t xml:space="preserve">REGULAMENTO </w:t>
          </w:r>
          <w:r w:rsidRPr="00DD68D6">
            <w:rPr>
              <w:rFonts w:ascii="Arial" w:hAnsi="Arial" w:cs="Arial"/>
              <w:b/>
              <w:sz w:val="28"/>
              <w:szCs w:val="28"/>
            </w:rPr>
            <w:t>INSTITUCIONAL DE COMPRAS E CONTRATAÇÃO DE SERVIÇOS</w:t>
          </w:r>
        </w:p>
      </w:tc>
    </w:tr>
  </w:tbl>
  <w:p w14:paraId="2A71839B" w14:textId="44B3A8D2" w:rsidR="00E722AA" w:rsidRDefault="00DD68D6">
    <w:pPr>
      <w:ind w:left="1416"/>
    </w:pPr>
    <w:r>
      <w:rPr>
        <w:noProof/>
      </w:rPr>
      <w:pict w14:anchorId="126B9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-30.35pt;margin-top:-62.55pt;width:89.45pt;height:60.55pt;z-index:-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22AA"/>
    <w:rsid w:val="00D259A2"/>
    <w:rsid w:val="00DD68D6"/>
    <w:rsid w:val="00E7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815ACF"/>
  <w15:docId w15:val="{551F6569-1AFE-4261-968E-A680F3F0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Fontepargpadro1">
    <w:name w:val="Fonte parág. padrão1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Captul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semiHidden/>
    <w:pPr>
      <w:suppressLineNumbers/>
      <w:tabs>
        <w:tab w:val="center" w:pos="5101"/>
        <w:tab w:val="right" w:pos="10203"/>
      </w:tabs>
    </w:pPr>
  </w:style>
  <w:style w:type="paragraph" w:styleId="SemEspaamento">
    <w:name w:val="No Spacing"/>
    <w:uiPriority w:val="1"/>
    <w:qFormat/>
    <w:rsid w:val="005B55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C60E8C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62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6127</Characters>
  <Application>Microsoft Office Word</Application>
  <DocSecurity>0</DocSecurity>
  <Lines>51</Lines>
  <Paragraphs>14</Paragraphs>
  <ScaleCrop>false</ScaleCrop>
  <Company>HP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m.vendemiatti</dc:creator>
  <dc:description/>
  <cp:lastModifiedBy>Irmandade de Misericórdia de Atibaia</cp:lastModifiedBy>
  <cp:revision>2</cp:revision>
  <cp:lastPrinted>2012-04-27T11:50:00Z</cp:lastPrinted>
  <dcterms:created xsi:type="dcterms:W3CDTF">2020-10-23T20:11:00Z</dcterms:created>
  <dcterms:modified xsi:type="dcterms:W3CDTF">2020-10-23T20:11:00Z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