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3F0312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CAPÍTULO I – DAS DISPOSIÇÕES GERAIS </w:t>
      </w:r>
    </w:p>
    <w:p w14:paraId="7865A9AB" w14:textId="6D04C0F3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1º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O presente regulamento tem por finalidade estabelecer normas e critérios para compras e contratação de serviços da </w:t>
      </w:r>
      <w:r w:rsidR="00BC66F9">
        <w:rPr>
          <w:rFonts w:ascii="Arial" w:hAnsi="Arial" w:cs="Arial"/>
          <w:color w:val="000000"/>
          <w:sz w:val="20"/>
          <w:szCs w:val="20"/>
        </w:rPr>
        <w:t>Irmandade de Misericórdia de Atibaia</w:t>
      </w:r>
      <w:r w:rsidRPr="00C1346A">
        <w:rPr>
          <w:rFonts w:ascii="Arial" w:hAnsi="Arial" w:cs="Arial"/>
          <w:color w:val="000000"/>
          <w:sz w:val="20"/>
          <w:szCs w:val="20"/>
        </w:rPr>
        <w:t>, sem fins lucrativos, pessoa jurídica de direito privado</w:t>
      </w:r>
      <w:r w:rsidR="00BC66F9">
        <w:rPr>
          <w:rFonts w:ascii="Arial" w:hAnsi="Arial" w:cs="Arial"/>
          <w:bCs/>
          <w:color w:val="000000"/>
          <w:sz w:val="20"/>
          <w:szCs w:val="20"/>
        </w:rPr>
        <w:t xml:space="preserve"> sob o CNPJ 44.510.485/0001-39</w:t>
      </w:r>
      <w:r w:rsidRPr="00C1346A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14:paraId="6F2B070B" w14:textId="30B0BDDC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Parágrafo único.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 xml:space="preserve"> Este Regulamento se aplica a todos os dispêndios financeiros da</w:t>
      </w:r>
      <w:r w:rsidR="00BC66F9">
        <w:rPr>
          <w:rFonts w:ascii="Arial" w:hAnsi="Arial" w:cs="Arial"/>
          <w:bCs/>
          <w:color w:val="000000"/>
          <w:sz w:val="20"/>
          <w:szCs w:val="20"/>
        </w:rPr>
        <w:t xml:space="preserve"> Irmandade de Misericórdia de Atibaia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>, inclusive os realizados por unidades descentralizadas.</w:t>
      </w:r>
    </w:p>
    <w:p w14:paraId="60BA2FFF" w14:textId="6E95D73D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Art.2º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 xml:space="preserve"> - Todos os dispêndios feitos pela </w:t>
      </w:r>
      <w:r w:rsidR="00BC66F9">
        <w:rPr>
          <w:rFonts w:ascii="Arial" w:hAnsi="Arial" w:cs="Arial"/>
          <w:bCs/>
          <w:color w:val="000000"/>
          <w:sz w:val="20"/>
          <w:szCs w:val="20"/>
        </w:rPr>
        <w:t>Instituição,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 xml:space="preserve"> reger-se-ão pelos princípios básicos da moralidade e boa-fé, probidade, impessoalidade, economicidade e eficiência, isonomia, publicidade, legalidade, razoabilidade e busca permanente de qualidade e durabilidade, bem como pela adequação aos objetivos da entidade.</w:t>
      </w:r>
    </w:p>
    <w:p w14:paraId="61D04557" w14:textId="5CE53308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Art. 3º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 xml:space="preserve"> - O cumprimento das normas deste Regulamento destina-se a selecionar, dentre as propostas que atendem aos princípios do artigo anterior, a mais vantajosa para a </w:t>
      </w:r>
      <w:r w:rsidR="00BC66F9">
        <w:rPr>
          <w:rFonts w:ascii="Arial" w:hAnsi="Arial" w:cs="Arial"/>
          <w:bCs/>
          <w:color w:val="000000"/>
          <w:sz w:val="20"/>
          <w:szCs w:val="20"/>
        </w:rPr>
        <w:t>entidade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E01168A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Art. 4º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 xml:space="preserve"> - Todo o processo de compras, contratações e locações de que trata este regulamento deve estar devidamente documentado, a fim de facilitar o acompanhamento, o controle e a fiscalização dos Contratos de Gerenciamento.</w:t>
      </w:r>
    </w:p>
    <w:p w14:paraId="5ACA703E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CAPÍTULO II - DAS COMPRAS</w:t>
      </w:r>
    </w:p>
    <w:p w14:paraId="2340D8A3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Título I – Definição</w:t>
      </w:r>
    </w:p>
    <w:p w14:paraId="09C39E17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5º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Para fins do presente regulamento, considera-se compra toda aquisição remunerada de bens de consumo e materiais permanentes para fornecimento de uma só vez ou parceladamente, com a finalidade de suprir o hospital com os materiais necessários ao desenvolvimento de suas atividades. </w:t>
      </w:r>
    </w:p>
    <w:p w14:paraId="309486AA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Título II - Do procedimento de compras</w:t>
      </w:r>
    </w:p>
    <w:p w14:paraId="4CFEE4F9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6º </w:t>
      </w:r>
      <w:r w:rsidRPr="00C1346A">
        <w:rPr>
          <w:rFonts w:ascii="Arial" w:hAnsi="Arial" w:cs="Arial"/>
          <w:color w:val="000000"/>
          <w:sz w:val="20"/>
          <w:szCs w:val="20"/>
        </w:rPr>
        <w:t>- O procedimento de compras compreende o cumprimento das etapas a seguir especificadas:</w:t>
      </w:r>
    </w:p>
    <w:p w14:paraId="69A30DA7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 I – solicitação de compras;</w:t>
      </w:r>
    </w:p>
    <w:p w14:paraId="2F4FC0C5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 II – qualificação de fornecedores; </w:t>
      </w:r>
    </w:p>
    <w:p w14:paraId="21A31E22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III – coleta de preço; </w:t>
      </w:r>
    </w:p>
    <w:p w14:paraId="09C7CCA8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>IV – apuração da melhor oferta;</w:t>
      </w:r>
    </w:p>
    <w:p w14:paraId="5102F563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V – emissão de ordem de compra. </w:t>
      </w:r>
    </w:p>
    <w:p w14:paraId="798CC52E" w14:textId="68000385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7º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A qualificação do fornecedor candidato é composta pela verificação dos documentos legais e dos diplomas técnicos abaixo relacionados que deverão ser encaminhados </w:t>
      </w:r>
      <w:r w:rsidR="00BC66F9">
        <w:rPr>
          <w:rFonts w:ascii="Arial" w:hAnsi="Arial" w:cs="Arial"/>
          <w:color w:val="000000"/>
          <w:sz w:val="20"/>
          <w:szCs w:val="20"/>
        </w:rPr>
        <w:t>ao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 departamento de compras d</w:t>
      </w:r>
      <w:r w:rsidR="00BC66F9">
        <w:rPr>
          <w:rFonts w:ascii="Arial" w:hAnsi="Arial" w:cs="Arial"/>
          <w:color w:val="000000"/>
          <w:sz w:val="20"/>
          <w:szCs w:val="20"/>
        </w:rPr>
        <w:t>a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 </w:t>
      </w:r>
      <w:r w:rsidR="006D1663">
        <w:rPr>
          <w:rFonts w:ascii="Arial" w:hAnsi="Arial" w:cs="Arial"/>
          <w:color w:val="000000"/>
          <w:sz w:val="20"/>
          <w:szCs w:val="20"/>
        </w:rPr>
        <w:t>Santa Casa de Atibaia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, atualizados e dentro do prazo de validade. </w:t>
      </w:r>
    </w:p>
    <w:p w14:paraId="28757D55" w14:textId="77777777" w:rsidR="00941B5E" w:rsidRPr="00C1346A" w:rsidRDefault="00941B5E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lastRenderedPageBreak/>
        <w:t xml:space="preserve">I. CNPJ; </w:t>
      </w:r>
    </w:p>
    <w:p w14:paraId="3E55F707" w14:textId="77777777" w:rsidR="00941B5E" w:rsidRPr="00C1346A" w:rsidRDefault="00941B5E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II. Inscrição Estadual; </w:t>
      </w:r>
    </w:p>
    <w:p w14:paraId="02F29685" w14:textId="77777777" w:rsidR="00941B5E" w:rsidRPr="00C1346A" w:rsidRDefault="00941B5E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III. Contrato Social com as alterações ou Estatuto; </w:t>
      </w:r>
    </w:p>
    <w:p w14:paraId="2F853107" w14:textId="77777777" w:rsidR="00941B5E" w:rsidRDefault="00941B5E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C1346A">
        <w:rPr>
          <w:rFonts w:ascii="Arial" w:hAnsi="Arial" w:cs="Arial"/>
          <w:color w:val="000000"/>
          <w:sz w:val="20"/>
          <w:szCs w:val="20"/>
        </w:rPr>
        <w:t>V. CCM – Comprova</w:t>
      </w:r>
      <w:r>
        <w:rPr>
          <w:rFonts w:ascii="Arial" w:hAnsi="Arial" w:cs="Arial"/>
          <w:color w:val="000000"/>
          <w:sz w:val="20"/>
          <w:szCs w:val="20"/>
        </w:rPr>
        <w:t>nte de Contribuintes Municipal;</w:t>
      </w:r>
    </w:p>
    <w:p w14:paraId="23B6A2AD" w14:textId="77777777" w:rsidR="00941B5E" w:rsidRPr="000C7D60" w:rsidRDefault="00941B5E" w:rsidP="00941B5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C1346A">
        <w:rPr>
          <w:rFonts w:ascii="Arial" w:hAnsi="Arial" w:cs="Arial"/>
          <w:color w:val="000000"/>
          <w:sz w:val="20"/>
          <w:szCs w:val="20"/>
        </w:rPr>
        <w:t>. Licença de Funcionamento emitida pela Vigilância Sanitária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7D60">
        <w:rPr>
          <w:rFonts w:ascii="Arial" w:hAnsi="Arial" w:cs="Arial"/>
          <w:color w:val="FF0000"/>
          <w:sz w:val="20"/>
          <w:szCs w:val="20"/>
        </w:rPr>
        <w:t xml:space="preserve">quando aplicável; </w:t>
      </w:r>
    </w:p>
    <w:p w14:paraId="308B9C1E" w14:textId="77777777" w:rsidR="00941B5E" w:rsidRDefault="00941B5E" w:rsidP="00941B5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VI. </w:t>
      </w:r>
      <w:r w:rsidRPr="00613999">
        <w:rPr>
          <w:rFonts w:ascii="Tahoma" w:hAnsi="Tahoma" w:cs="Tahoma"/>
          <w:color w:val="000000"/>
          <w:sz w:val="20"/>
        </w:rPr>
        <w:t>Licença de Funcionamento</w:t>
      </w:r>
      <w:r w:rsidR="006D1663">
        <w:rPr>
          <w:rFonts w:ascii="Tahoma" w:hAnsi="Tahoma" w:cs="Tahoma"/>
          <w:color w:val="000000"/>
          <w:sz w:val="20"/>
        </w:rPr>
        <w:t xml:space="preserve"> </w:t>
      </w:r>
      <w:r w:rsidRPr="00613999">
        <w:rPr>
          <w:rFonts w:ascii="Tahoma" w:hAnsi="Tahoma" w:cs="Tahoma"/>
          <w:color w:val="000000"/>
          <w:sz w:val="20"/>
        </w:rPr>
        <w:t>emitida pela Polícia Federal</w:t>
      </w:r>
      <w:r>
        <w:rPr>
          <w:rFonts w:ascii="Tahoma" w:hAnsi="Tahoma" w:cs="Tahoma"/>
          <w:color w:val="000000"/>
          <w:sz w:val="20"/>
        </w:rPr>
        <w:t xml:space="preserve">, </w:t>
      </w:r>
      <w:r w:rsidRPr="000C7D60">
        <w:rPr>
          <w:rFonts w:ascii="Tahoma" w:hAnsi="Tahoma" w:cs="Tahoma"/>
          <w:color w:val="FF0000"/>
          <w:sz w:val="20"/>
        </w:rPr>
        <w:t>quando aplicável;</w:t>
      </w:r>
    </w:p>
    <w:p w14:paraId="76F0F97F" w14:textId="77777777" w:rsidR="00941B5E" w:rsidRDefault="00941B5E" w:rsidP="00941B5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A06BBC" w14:textId="77777777" w:rsidR="00941B5E" w:rsidRPr="00C1346A" w:rsidRDefault="00941B5E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color w:val="000000"/>
          <w:sz w:val="20"/>
          <w:szCs w:val="20"/>
        </w:rPr>
        <w:t>Parágrafo único.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 Para o fornecimento de medicamentos, insumos farmacêuticos e correlatos são necessários também os documentos listados abaixo: </w:t>
      </w:r>
    </w:p>
    <w:p w14:paraId="7FE306A5" w14:textId="3E8B092C" w:rsidR="00941B5E" w:rsidRPr="00C1346A" w:rsidRDefault="00941B5E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. Certificado de Responsabilidade Técnica emitido pelo Conselho Regional de Classe, ou o protocolo de assunção desta responsabilidade técnica - obrigatório para fabricante e distribuidor; </w:t>
      </w:r>
    </w:p>
    <w:p w14:paraId="4382F003" w14:textId="6428BD7F" w:rsidR="00941B5E" w:rsidRDefault="005638BA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</w:t>
      </w:r>
      <w:r w:rsidR="00941B5E" w:rsidRPr="00C1346A">
        <w:rPr>
          <w:rFonts w:ascii="Arial" w:hAnsi="Arial" w:cs="Arial"/>
          <w:color w:val="000000"/>
          <w:sz w:val="20"/>
          <w:szCs w:val="20"/>
        </w:rPr>
        <w:t>. Certificado de Boas Práticas de Fabricação e Controle de Produtos para Saúde, expedido pela ANVISA</w:t>
      </w:r>
      <w:r w:rsidR="00941B5E">
        <w:rPr>
          <w:rFonts w:ascii="Arial" w:hAnsi="Arial" w:cs="Arial"/>
          <w:color w:val="000000"/>
          <w:sz w:val="20"/>
          <w:szCs w:val="20"/>
        </w:rPr>
        <w:t xml:space="preserve"> </w:t>
      </w:r>
      <w:r w:rsidR="00941B5E" w:rsidRPr="00C1346A">
        <w:rPr>
          <w:rFonts w:ascii="Arial" w:hAnsi="Arial" w:cs="Arial"/>
          <w:color w:val="000000"/>
          <w:sz w:val="20"/>
          <w:szCs w:val="20"/>
        </w:rPr>
        <w:t xml:space="preserve">– obrigatório para fabricante; </w:t>
      </w:r>
    </w:p>
    <w:p w14:paraId="113E778A" w14:textId="74D9F6FF" w:rsidR="00941B5E" w:rsidRPr="00C1346A" w:rsidRDefault="005638BA" w:rsidP="00941B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="00941B5E" w:rsidRPr="00C1346A">
        <w:rPr>
          <w:rFonts w:ascii="Arial" w:hAnsi="Arial" w:cs="Arial"/>
          <w:color w:val="000000"/>
          <w:sz w:val="20"/>
          <w:szCs w:val="20"/>
        </w:rPr>
        <w:t xml:space="preserve"> - Cópia autenticada da autorização especial para medicamentos da Portaria 344/98 SVS-MS – obrigatório para fabricante e distribuidor. </w:t>
      </w:r>
    </w:p>
    <w:p w14:paraId="247C9172" w14:textId="0648808B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8º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– </w:t>
      </w:r>
      <w:r w:rsidR="005638BA">
        <w:rPr>
          <w:rFonts w:ascii="Arial" w:hAnsi="Arial" w:cs="Arial"/>
          <w:color w:val="000000"/>
          <w:sz w:val="20"/>
          <w:szCs w:val="20"/>
        </w:rPr>
        <w:t>Para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coleta de preço será </w:t>
      </w:r>
      <w:r w:rsidR="005638BA">
        <w:rPr>
          <w:rFonts w:ascii="Arial" w:hAnsi="Arial" w:cs="Arial"/>
          <w:color w:val="000000"/>
          <w:sz w:val="20"/>
          <w:szCs w:val="20"/>
        </w:rPr>
        <w:t xml:space="preserve">utilizada a Plataforma Eletrônica de Compras,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podendo também ser </w:t>
      </w:r>
      <w:r w:rsidR="005638BA">
        <w:rPr>
          <w:rFonts w:ascii="Arial" w:hAnsi="Arial" w:cs="Arial"/>
          <w:color w:val="000000"/>
          <w:sz w:val="20"/>
          <w:szCs w:val="20"/>
        </w:rPr>
        <w:t xml:space="preserve">realizada por e-mail, sendo todos os meios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com a participação de, no mínimo, 3 (três) fornecedores previamente qualificados pelo hospital. </w:t>
      </w:r>
    </w:p>
    <w:p w14:paraId="59E4919D" w14:textId="7043CE63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Primeiro – </w:t>
      </w:r>
      <w:r w:rsidRPr="00C1346A">
        <w:rPr>
          <w:rFonts w:ascii="Arial" w:hAnsi="Arial" w:cs="Arial"/>
          <w:color w:val="000000"/>
          <w:sz w:val="20"/>
          <w:szCs w:val="20"/>
        </w:rPr>
        <w:t>O sistema de coleta de preço, que trata o caput deste artigo, e a qualificação de fornecedores, que trata o artigo 7</w:t>
      </w: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º,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serão dispensadas nos casos em que haja carência de fornecedor, exclusividade ou singularidade do objeto, necessidade emergencial de aquisição ou contratação </w:t>
      </w:r>
      <w:r w:rsidR="005638BA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C1346A">
        <w:rPr>
          <w:rFonts w:ascii="Arial" w:hAnsi="Arial" w:cs="Arial"/>
          <w:color w:val="000000"/>
          <w:sz w:val="20"/>
          <w:szCs w:val="20"/>
        </w:rPr>
        <w:t>serviço</w:t>
      </w:r>
      <w:r w:rsidR="0092508E">
        <w:rPr>
          <w:rFonts w:ascii="Arial" w:hAnsi="Arial" w:cs="Arial"/>
          <w:color w:val="000000"/>
          <w:sz w:val="20"/>
          <w:szCs w:val="20"/>
        </w:rPr>
        <w:t>.</w:t>
      </w:r>
      <w:r w:rsidR="005638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B30DA7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Parágrafo Segundo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Considera-se de urgência a aquisição de material inexistente no estoque, com imediata necessidade de utilização. </w:t>
      </w:r>
    </w:p>
    <w:p w14:paraId="601F7C6F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9º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A melhor oferta será apurada considerando menor preço, custo de transporte e seguro até o local de entrega, condição de pagamento, prazo de entrega, custo para operação do produto e disponibilidade para eventual necessidade de treinamento de pessoal. </w:t>
      </w:r>
    </w:p>
    <w:p w14:paraId="32F59414" w14:textId="77777777" w:rsid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10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A ordem de compra ou contrato formal efetuado com o fornecedor encerra o procedimento de compras, devendo representar fielmente todas as condições realizadas na negociação. </w:t>
      </w:r>
    </w:p>
    <w:p w14:paraId="123E905F" w14:textId="77777777" w:rsidR="00FB051B" w:rsidRPr="00C1346A" w:rsidRDefault="00FB051B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353C78" w14:textId="310A0040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CAPÍTULO III - DA CONTRATAÇÃO DE SERVIÇOS</w:t>
      </w:r>
    </w:p>
    <w:p w14:paraId="665D84A9" w14:textId="77777777" w:rsidR="00FB051B" w:rsidRDefault="00FB051B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B722A9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TÍTULO I - Definição</w:t>
      </w:r>
    </w:p>
    <w:p w14:paraId="08B96A04" w14:textId="7CAC881F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11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Para fins do presente Regulamento considera-se serviço toda atividade destinada a obter determinada utilidade de interesse da , realizada por terceiros: demolição, conserto, instalação, montagem, operação, conservação, reparação, adaptação, manutenção, transporte, locação de bens, publicidade e seguro, consultoria, assessoria, hospedagem, alimentação, serviços técnicos profissionais especializados, produção artística, serviços gráficos, bem como obras civis, englobando construção, reforma, recuperação ou ampliação. </w:t>
      </w:r>
    </w:p>
    <w:p w14:paraId="4C24CCE8" w14:textId="77777777" w:rsid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D5B5A0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TÍTULO II - Da contratação</w:t>
      </w:r>
    </w:p>
    <w:p w14:paraId="33A590B2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12 </w:t>
      </w:r>
      <w:r w:rsidRPr="00C1346A">
        <w:rPr>
          <w:rFonts w:ascii="Arial" w:hAnsi="Arial" w:cs="Arial"/>
          <w:color w:val="000000"/>
          <w:sz w:val="20"/>
          <w:szCs w:val="20"/>
        </w:rPr>
        <w:t>- Aplicam-se à contratação de serviços, no que couberem, todas as regras estabelecidas nos artigos 6º a 10</w:t>
      </w:r>
      <w:r>
        <w:rPr>
          <w:rFonts w:ascii="Arial" w:hAnsi="Arial" w:cs="Arial"/>
          <w:color w:val="000000"/>
          <w:sz w:val="20"/>
          <w:szCs w:val="20"/>
        </w:rPr>
        <w:t>º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 do presente Regulamento, com exceção dos serviços técnicos profissionais especializados que ficam dispensados das exigências estabelecidas nos artigos 7º e 8º do presente Regulamento. </w:t>
      </w:r>
    </w:p>
    <w:p w14:paraId="71ACC0C5" w14:textId="77777777" w:rsid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13 -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Os contratos deverão estabelecer com clareza e precisão as condições de execução, aplicando-lhes as normas de direito civil, os princípios da teoria geral de contratos e as disposições do direito privado. </w:t>
      </w:r>
    </w:p>
    <w:p w14:paraId="32025952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Parágrafo único.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 xml:space="preserve"> Para todas as compras de bens e serviços deverão ser emitidas, pelo fornecedor, nota fiscal de venda ou fatura de prestação de serviços.</w:t>
      </w:r>
    </w:p>
    <w:p w14:paraId="10BB7B91" w14:textId="4068A60C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92508E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A </w:t>
      </w:r>
      <w:r w:rsidR="007646F5">
        <w:rPr>
          <w:rFonts w:ascii="Arial" w:hAnsi="Arial" w:cs="Arial"/>
          <w:color w:val="000000"/>
          <w:sz w:val="20"/>
          <w:szCs w:val="20"/>
        </w:rPr>
        <w:t>Entidade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 caberá fiscalizar a execução dos contratos, podendo aplicar as sanções previstas contratualmente, quando descumpridas as cláusulas pactuadas.</w:t>
      </w:r>
    </w:p>
    <w:p w14:paraId="03801E0E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único. </w:t>
      </w:r>
      <w:r w:rsidRPr="00C1346A">
        <w:rPr>
          <w:rFonts w:ascii="Arial" w:hAnsi="Arial" w:cs="Arial"/>
          <w:bCs/>
          <w:color w:val="000000"/>
          <w:sz w:val="20"/>
          <w:szCs w:val="20"/>
        </w:rPr>
        <w:t>A inexecução total ou parcial do contrato poderá acarretar a sua rescisão, respondendo a parte que a causou com as consequências contratuais e as previstas em lei.</w:t>
      </w:r>
    </w:p>
    <w:p w14:paraId="650DB149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TÍTULO III - Dos Serviços Técnicos Profissionais Especializados</w:t>
      </w:r>
    </w:p>
    <w:p w14:paraId="5957322F" w14:textId="16E486DD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92508E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46A">
        <w:rPr>
          <w:rFonts w:ascii="Arial" w:hAnsi="Arial" w:cs="Arial"/>
          <w:color w:val="000000"/>
          <w:sz w:val="20"/>
          <w:szCs w:val="20"/>
        </w:rPr>
        <w:t>- Para fins do presente Regulamento, consideram-se serviços técnicos profissionais especializados os trabalhos relativos a:</w:t>
      </w:r>
    </w:p>
    <w:p w14:paraId="012D07CD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 I - estudos técnicos, planejamentos e projetos básicos ou executivos;</w:t>
      </w:r>
    </w:p>
    <w:p w14:paraId="3790E4F7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 II - pareceres, perícias e avaliações em geral;</w:t>
      </w:r>
    </w:p>
    <w:p w14:paraId="4CACB8FD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 III - assessorias ou consultorias técnicas, jurídicas e auditorias financeiras; </w:t>
      </w:r>
    </w:p>
    <w:p w14:paraId="19419E60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IV - fiscalização, supervisão ou gerenciamento de obras ou serviços; </w:t>
      </w:r>
    </w:p>
    <w:p w14:paraId="056581E6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V - patrocínio ou defesa de causas judiciais ou administrativas; </w:t>
      </w:r>
    </w:p>
    <w:p w14:paraId="223510CD" w14:textId="77777777" w:rsidR="00C1346A" w:rsidRPr="00C1346A" w:rsidRDefault="00C1346A" w:rsidP="007646F5">
      <w:pPr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lastRenderedPageBreak/>
        <w:t xml:space="preserve">VI - treinamento e aperfeiçoamento de pessoal; </w:t>
      </w:r>
    </w:p>
    <w:p w14:paraId="68D23D72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VII - prestação de serviços de assistência à saúde em áreas específicas; </w:t>
      </w:r>
    </w:p>
    <w:p w14:paraId="648C285C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color w:val="000000"/>
          <w:sz w:val="20"/>
          <w:szCs w:val="20"/>
        </w:rPr>
        <w:t xml:space="preserve">VIII - informática, inclusive quando envolver aquisição de programas. </w:t>
      </w:r>
    </w:p>
    <w:p w14:paraId="6FF54B7A" w14:textId="3DAC2E58" w:rsid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92508E"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A Diretoria deverá selecionar criteriosamente o prestador de serviços técnicos profissionais especializados, que poderá ser pessoa jurídica ou física, considerando a idoneidade, a experiência e a especialização do contratado, dentro da respectiva área. </w:t>
      </w:r>
    </w:p>
    <w:p w14:paraId="305D8367" w14:textId="77777777" w:rsidR="00C1346A" w:rsidRPr="00C1346A" w:rsidRDefault="00C1346A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>CAPÍTULO IV - DAS DISPOSIÇÕES FINAIS</w:t>
      </w:r>
    </w:p>
    <w:p w14:paraId="0E86D878" w14:textId="45A565D1" w:rsidR="00C1346A" w:rsidRPr="00C1346A" w:rsidRDefault="00CF081B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19</w:t>
      </w:r>
      <w:r w:rsidR="00C1346A"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346A" w:rsidRPr="00C1346A">
        <w:rPr>
          <w:rFonts w:ascii="Arial" w:hAnsi="Arial" w:cs="Arial"/>
          <w:color w:val="000000"/>
          <w:sz w:val="20"/>
          <w:szCs w:val="20"/>
        </w:rPr>
        <w:t xml:space="preserve">- Para fins do presente Regulamento consideram Diretoria o profissional </w:t>
      </w:r>
      <w:r w:rsidR="0092508E">
        <w:rPr>
          <w:rFonts w:ascii="Arial" w:hAnsi="Arial" w:cs="Arial"/>
          <w:color w:val="000000"/>
          <w:sz w:val="20"/>
          <w:szCs w:val="20"/>
        </w:rPr>
        <w:t xml:space="preserve">indicado como Interventor Municipal </w:t>
      </w:r>
      <w:r w:rsidR="00C1346A" w:rsidRPr="00C1346A">
        <w:rPr>
          <w:rFonts w:ascii="Arial" w:hAnsi="Arial" w:cs="Arial"/>
          <w:color w:val="000000"/>
          <w:sz w:val="20"/>
          <w:szCs w:val="20"/>
        </w:rPr>
        <w:t xml:space="preserve">contratado para administrar a </w:t>
      </w:r>
      <w:r w:rsidR="0092508E">
        <w:rPr>
          <w:rFonts w:ascii="Arial" w:hAnsi="Arial" w:cs="Arial"/>
          <w:color w:val="000000"/>
          <w:sz w:val="20"/>
          <w:szCs w:val="20"/>
        </w:rPr>
        <w:t xml:space="preserve">Irmandade de Misericórdia de Atibaia. </w:t>
      </w:r>
    </w:p>
    <w:p w14:paraId="662B2319" w14:textId="77777777" w:rsidR="00C1346A" w:rsidRPr="00C1346A" w:rsidRDefault="00C1346A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CF081B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46A">
        <w:rPr>
          <w:rFonts w:ascii="Arial" w:hAnsi="Arial" w:cs="Arial"/>
          <w:color w:val="000000"/>
          <w:sz w:val="20"/>
          <w:szCs w:val="20"/>
        </w:rPr>
        <w:t xml:space="preserve">- Os casos omissos ou duvidosos na interpretação do presente Regulamento serão resolvidos pela Administração, com base nos princípios gerais de direito. </w:t>
      </w:r>
    </w:p>
    <w:p w14:paraId="156897CE" w14:textId="77777777" w:rsidR="00FB051B" w:rsidRDefault="00FB051B" w:rsidP="00C1346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D6B0D1" w14:textId="30129C67" w:rsidR="00C1346A" w:rsidRDefault="0092508E" w:rsidP="00C1346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B051B">
        <w:rPr>
          <w:rFonts w:ascii="Arial" w:hAnsi="Arial" w:cs="Arial"/>
          <w:color w:val="000000"/>
          <w:sz w:val="20"/>
          <w:szCs w:val="20"/>
        </w:rPr>
        <w:t>tibaia</w:t>
      </w:r>
      <w:r w:rsidR="00C1346A" w:rsidRPr="00C1346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02</w:t>
      </w:r>
      <w:r w:rsidR="00C1346A" w:rsidRPr="00C134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346A" w:rsidRPr="00C1346A">
        <w:rPr>
          <w:rFonts w:ascii="Arial" w:hAnsi="Arial" w:cs="Arial"/>
          <w:color w:val="000000"/>
          <w:sz w:val="20"/>
          <w:szCs w:val="20"/>
        </w:rPr>
        <w:t>de</w:t>
      </w:r>
      <w:r w:rsidR="00FB05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janeiro </w:t>
      </w:r>
      <w:r w:rsidR="00C1346A" w:rsidRPr="00C1346A">
        <w:rPr>
          <w:rFonts w:ascii="Arial" w:hAnsi="Arial" w:cs="Arial"/>
          <w:color w:val="000000"/>
          <w:sz w:val="20"/>
          <w:szCs w:val="20"/>
        </w:rPr>
        <w:t xml:space="preserve">de </w:t>
      </w:r>
      <w:r w:rsidR="00FB051B"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FB051B">
        <w:rPr>
          <w:rFonts w:ascii="Arial" w:hAnsi="Arial" w:cs="Arial"/>
          <w:color w:val="000000"/>
          <w:sz w:val="20"/>
          <w:szCs w:val="20"/>
        </w:rPr>
        <w:t>.</w:t>
      </w:r>
    </w:p>
    <w:p w14:paraId="6D4A22F5" w14:textId="77777777" w:rsidR="00FB051B" w:rsidRDefault="00FB051B" w:rsidP="00C1346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02BF376" w14:textId="72AADCE2" w:rsidR="00FB051B" w:rsidRDefault="0092508E" w:rsidP="00C1346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14:paraId="1FE8C6B6" w14:textId="033955D6" w:rsidR="0092508E" w:rsidRDefault="0092508E" w:rsidP="0092508E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Lauro Takao Watanabe </w:t>
      </w:r>
    </w:p>
    <w:p w14:paraId="499EA9E4" w14:textId="5FCCB503" w:rsidR="0092508E" w:rsidRDefault="0092508E" w:rsidP="0092508E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Interventor Municipal </w:t>
      </w:r>
    </w:p>
    <w:p w14:paraId="7B5EC27C" w14:textId="77777777" w:rsidR="0092508E" w:rsidRDefault="0092508E" w:rsidP="00C1346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27C36B" w14:textId="77777777" w:rsidR="00FB051B" w:rsidRDefault="00FB051B" w:rsidP="00C1346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D80B9A3" w14:textId="77777777" w:rsidR="00FB051B" w:rsidRDefault="00FB051B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5E6CEB" w14:textId="77777777" w:rsidR="00FB051B" w:rsidRDefault="00FB051B" w:rsidP="00C134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0635C2" w14:textId="77777777" w:rsidR="000A1F56" w:rsidRPr="00C1346A" w:rsidRDefault="000A1F56" w:rsidP="001205E9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A1F56" w:rsidRPr="00C1346A" w:rsidSect="00345AA0">
      <w:headerReference w:type="default" r:id="rId7"/>
      <w:footnotePr>
        <w:pos w:val="beneathText"/>
      </w:footnotePr>
      <w:pgSz w:w="11905" w:h="16837"/>
      <w:pgMar w:top="2755" w:right="851" w:bottom="709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E8D0" w14:textId="77777777" w:rsidR="00F03E8E" w:rsidRDefault="00F03E8E">
      <w:pPr>
        <w:spacing w:after="0" w:line="240" w:lineRule="auto"/>
      </w:pPr>
      <w:r>
        <w:separator/>
      </w:r>
    </w:p>
  </w:endnote>
  <w:endnote w:type="continuationSeparator" w:id="0">
    <w:p w14:paraId="0455023A" w14:textId="77777777" w:rsidR="00F03E8E" w:rsidRDefault="00F0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2BE5" w14:textId="77777777" w:rsidR="00F03E8E" w:rsidRDefault="00F03E8E">
      <w:pPr>
        <w:spacing w:after="0" w:line="240" w:lineRule="auto"/>
      </w:pPr>
      <w:r>
        <w:separator/>
      </w:r>
    </w:p>
  </w:footnote>
  <w:footnote w:type="continuationSeparator" w:id="0">
    <w:p w14:paraId="32F3128D" w14:textId="77777777" w:rsidR="00F03E8E" w:rsidRDefault="00F0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37" w:type="dxa"/>
      <w:tblInd w:w="1416" w:type="dxa"/>
      <w:tblLook w:val="04A0" w:firstRow="1" w:lastRow="0" w:firstColumn="1" w:lastColumn="0" w:noHBand="0" w:noVBand="1"/>
    </w:tblPr>
    <w:tblGrid>
      <w:gridCol w:w="9137"/>
    </w:tblGrid>
    <w:tr w:rsidR="00BC66F9" w14:paraId="02BDA2F3" w14:textId="77777777" w:rsidTr="00BC66F9">
      <w:trPr>
        <w:trHeight w:val="139"/>
      </w:trPr>
      <w:tc>
        <w:tcPr>
          <w:tcW w:w="9137" w:type="dxa"/>
        </w:tcPr>
        <w:p w14:paraId="3561C48A" w14:textId="08DB58AB" w:rsidR="00BC66F9" w:rsidRDefault="00BC66F9" w:rsidP="00BC66F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2461B">
            <w:rPr>
              <w:rFonts w:ascii="Arial" w:hAnsi="Arial" w:cs="Arial"/>
              <w:b/>
              <w:sz w:val="28"/>
              <w:szCs w:val="28"/>
            </w:rPr>
            <w:t>REGULAMENTO INSTITUCIONAL DE COMPRAS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E </w:t>
          </w:r>
          <w:r w:rsidRPr="0082461B">
            <w:rPr>
              <w:rFonts w:ascii="Arial" w:hAnsi="Arial" w:cs="Arial"/>
              <w:b/>
              <w:sz w:val="28"/>
              <w:szCs w:val="28"/>
            </w:rPr>
            <w:t>CONTRATAÇÃO DE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82461B">
            <w:rPr>
              <w:rFonts w:ascii="Arial" w:hAnsi="Arial" w:cs="Arial"/>
              <w:b/>
              <w:sz w:val="28"/>
              <w:szCs w:val="28"/>
            </w:rPr>
            <w:t>SERVIÇOS</w:t>
          </w:r>
        </w:p>
      </w:tc>
    </w:tr>
  </w:tbl>
  <w:p w14:paraId="4E58B99B" w14:textId="083EAE7F" w:rsidR="00CF081B" w:rsidRDefault="00814F16" w:rsidP="00BC66F9">
    <w:pPr>
      <w:ind w:left="1416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156F09" wp14:editId="1ACEBD3E">
          <wp:simplePos x="0" y="0"/>
          <wp:positionH relativeFrom="column">
            <wp:posOffset>-386080</wp:posOffset>
          </wp:positionH>
          <wp:positionV relativeFrom="paragraph">
            <wp:posOffset>-795020</wp:posOffset>
          </wp:positionV>
          <wp:extent cx="1135380" cy="768350"/>
          <wp:effectExtent l="0" t="0" r="0" b="0"/>
          <wp:wrapNone/>
          <wp:docPr id="4" name="Imagem 4" descr="Logo Santa 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anta 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ABE"/>
    <w:multiLevelType w:val="hybridMultilevel"/>
    <w:tmpl w:val="7818B29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4E3"/>
    <w:multiLevelType w:val="hybridMultilevel"/>
    <w:tmpl w:val="3C587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5F0"/>
    <w:multiLevelType w:val="hybridMultilevel"/>
    <w:tmpl w:val="FC6082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6562F0C"/>
    <w:multiLevelType w:val="hybridMultilevel"/>
    <w:tmpl w:val="23108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62CB"/>
    <w:multiLevelType w:val="hybridMultilevel"/>
    <w:tmpl w:val="A28670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5911"/>
    <w:multiLevelType w:val="hybridMultilevel"/>
    <w:tmpl w:val="33E8C8A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1478"/>
    <w:multiLevelType w:val="hybridMultilevel"/>
    <w:tmpl w:val="F1C014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6"/>
    <w:rsid w:val="000144B1"/>
    <w:rsid w:val="00047E24"/>
    <w:rsid w:val="0005519D"/>
    <w:rsid w:val="00060B3B"/>
    <w:rsid w:val="000610AB"/>
    <w:rsid w:val="000A018D"/>
    <w:rsid w:val="000A1F56"/>
    <w:rsid w:val="000A3EE5"/>
    <w:rsid w:val="001205E9"/>
    <w:rsid w:val="0014310E"/>
    <w:rsid w:val="00162E6E"/>
    <w:rsid w:val="00170421"/>
    <w:rsid w:val="00194AC7"/>
    <w:rsid w:val="001D043A"/>
    <w:rsid w:val="001D49CA"/>
    <w:rsid w:val="001E4FE5"/>
    <w:rsid w:val="001F3049"/>
    <w:rsid w:val="002214F4"/>
    <w:rsid w:val="00241757"/>
    <w:rsid w:val="002619A9"/>
    <w:rsid w:val="00273E3E"/>
    <w:rsid w:val="002B0A99"/>
    <w:rsid w:val="00303E6F"/>
    <w:rsid w:val="003208B1"/>
    <w:rsid w:val="0032264A"/>
    <w:rsid w:val="00345AA0"/>
    <w:rsid w:val="0035536F"/>
    <w:rsid w:val="00357985"/>
    <w:rsid w:val="00365597"/>
    <w:rsid w:val="00394116"/>
    <w:rsid w:val="003A3268"/>
    <w:rsid w:val="003C43DB"/>
    <w:rsid w:val="0044386B"/>
    <w:rsid w:val="004F2BA1"/>
    <w:rsid w:val="005029D0"/>
    <w:rsid w:val="00525102"/>
    <w:rsid w:val="00562DD4"/>
    <w:rsid w:val="005638BA"/>
    <w:rsid w:val="00563D00"/>
    <w:rsid w:val="005A6919"/>
    <w:rsid w:val="005B554C"/>
    <w:rsid w:val="005F299C"/>
    <w:rsid w:val="00605270"/>
    <w:rsid w:val="00663C54"/>
    <w:rsid w:val="0067060B"/>
    <w:rsid w:val="00684A36"/>
    <w:rsid w:val="006A020B"/>
    <w:rsid w:val="006C40FD"/>
    <w:rsid w:val="006D1663"/>
    <w:rsid w:val="006E2A43"/>
    <w:rsid w:val="0070307C"/>
    <w:rsid w:val="0071492F"/>
    <w:rsid w:val="007161E0"/>
    <w:rsid w:val="00716469"/>
    <w:rsid w:val="00727B76"/>
    <w:rsid w:val="00751C30"/>
    <w:rsid w:val="007646F5"/>
    <w:rsid w:val="00767343"/>
    <w:rsid w:val="0079751B"/>
    <w:rsid w:val="007C0FB0"/>
    <w:rsid w:val="007C507A"/>
    <w:rsid w:val="00814F16"/>
    <w:rsid w:val="00820593"/>
    <w:rsid w:val="0082461B"/>
    <w:rsid w:val="00842D15"/>
    <w:rsid w:val="008B4AF1"/>
    <w:rsid w:val="008D6AE4"/>
    <w:rsid w:val="008E5D87"/>
    <w:rsid w:val="0092508E"/>
    <w:rsid w:val="00941B5E"/>
    <w:rsid w:val="00953559"/>
    <w:rsid w:val="009A605A"/>
    <w:rsid w:val="009C2D10"/>
    <w:rsid w:val="009D0016"/>
    <w:rsid w:val="009D2FD6"/>
    <w:rsid w:val="009E0927"/>
    <w:rsid w:val="009F13EA"/>
    <w:rsid w:val="00A4329D"/>
    <w:rsid w:val="00A75BD6"/>
    <w:rsid w:val="00A93822"/>
    <w:rsid w:val="00AD6C9B"/>
    <w:rsid w:val="00B5286A"/>
    <w:rsid w:val="00B67327"/>
    <w:rsid w:val="00B8364B"/>
    <w:rsid w:val="00B928A6"/>
    <w:rsid w:val="00BA7C8A"/>
    <w:rsid w:val="00BC4500"/>
    <w:rsid w:val="00BC66F9"/>
    <w:rsid w:val="00BF5252"/>
    <w:rsid w:val="00C1346A"/>
    <w:rsid w:val="00C342BA"/>
    <w:rsid w:val="00C60E8C"/>
    <w:rsid w:val="00C85D62"/>
    <w:rsid w:val="00CA32B7"/>
    <w:rsid w:val="00CC3BBB"/>
    <w:rsid w:val="00CE0292"/>
    <w:rsid w:val="00CF081B"/>
    <w:rsid w:val="00D451F6"/>
    <w:rsid w:val="00DA5263"/>
    <w:rsid w:val="00DB12BB"/>
    <w:rsid w:val="00E5665F"/>
    <w:rsid w:val="00E90948"/>
    <w:rsid w:val="00E96D6A"/>
    <w:rsid w:val="00EC045A"/>
    <w:rsid w:val="00F01B46"/>
    <w:rsid w:val="00F03E8E"/>
    <w:rsid w:val="00F24931"/>
    <w:rsid w:val="00F55F6D"/>
    <w:rsid w:val="00F67DD7"/>
    <w:rsid w:val="00F7748A"/>
    <w:rsid w:val="00FB051B"/>
    <w:rsid w:val="00FB67F0"/>
    <w:rsid w:val="00FC5313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487A9F"/>
  <w15:chartTrackingRefBased/>
  <w15:docId w15:val="{B7E725E1-1500-44AB-B3F2-98563AC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semiHidden/>
    <w:pPr>
      <w:suppressLineNumbers/>
      <w:tabs>
        <w:tab w:val="center" w:pos="5101"/>
        <w:tab w:val="right" w:pos="10203"/>
      </w:tabs>
    </w:pPr>
  </w:style>
  <w:style w:type="paragraph" w:styleId="SemEspaamento">
    <w:name w:val="No Spacing"/>
    <w:uiPriority w:val="1"/>
    <w:qFormat/>
    <w:rsid w:val="005B55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56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0E8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m.vendemiatti</dc:creator>
  <cp:keywords/>
  <cp:lastModifiedBy>Glauber Rodrigues</cp:lastModifiedBy>
  <cp:revision>2</cp:revision>
  <cp:lastPrinted>2012-04-27T11:50:00Z</cp:lastPrinted>
  <dcterms:created xsi:type="dcterms:W3CDTF">2022-03-24T14:07:00Z</dcterms:created>
  <dcterms:modified xsi:type="dcterms:W3CDTF">2022-03-24T14:07:00Z</dcterms:modified>
</cp:coreProperties>
</file>